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477E6378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3B1780">
        <w:rPr>
          <w:rFonts w:ascii="Times New Roman" w:hAnsi="Times New Roman" w:cs="Times New Roman"/>
        </w:rPr>
        <w:t>07</w:t>
      </w:r>
      <w:r w:rsidRPr="00CE2014">
        <w:rPr>
          <w:rFonts w:ascii="Times New Roman" w:hAnsi="Times New Roman" w:cs="Times New Roman"/>
        </w:rPr>
        <w:t>.</w:t>
      </w:r>
      <w:r w:rsidR="003B1780">
        <w:rPr>
          <w:rFonts w:ascii="Times New Roman" w:hAnsi="Times New Roman" w:cs="Times New Roman"/>
        </w:rPr>
        <w:t>10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C7620C">
        <w:rPr>
          <w:rFonts w:ascii="Times New Roman" w:hAnsi="Times New Roman" w:cs="Times New Roman"/>
        </w:rPr>
        <w:t>5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6105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F5677D">
        <w:tc>
          <w:tcPr>
            <w:tcW w:w="4382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105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F5677D">
        <w:tc>
          <w:tcPr>
            <w:tcW w:w="4382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105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F5677D">
        <w:tc>
          <w:tcPr>
            <w:tcW w:w="4382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105" w:type="dxa"/>
            <w:hideMark/>
          </w:tcPr>
          <w:p w14:paraId="7898F6A1" w14:textId="453B86AC" w:rsidR="001134EA" w:rsidRPr="003B1780" w:rsidRDefault="00F5677D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5677D">
              <w:rPr>
                <w:rFonts w:ascii="Times New Roman" w:hAnsi="Times New Roman" w:cs="Times New Roman"/>
                <w:bCs/>
                <w:iCs/>
              </w:rPr>
              <w:t xml:space="preserve">Artystyczne wykonanie przez muzyków zespołu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Arte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dei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Suonatori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pod kierunkiem Marcina Świątkiewicza oraz przez Małgorzatę Sarbak utworów Pawła Szymańskiego: „Concerto con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duoi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Violini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Violoncello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di Concertino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obligati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duoi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altri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Violini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, Viola e Basso di Concerto Grosso Del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Sig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>’ Szymański”, „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Une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suite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pičces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clavecin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par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Mr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Szymański”, „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Les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Poiriers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en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Pologne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ou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une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suite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pičces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sentimentales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clavecin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fait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par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Mr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Szymański” w warunkach nagraniowych wraz z rejestracją audialną prowadzącą do powstania fonogramu celem wydania na CD nakładem wytwórni ANAKLASIS</w:t>
            </w:r>
          </w:p>
        </w:tc>
      </w:tr>
      <w:tr w:rsidR="001134EA" w:rsidRPr="00CE2014" w14:paraId="62D4FBAF" w14:textId="77777777" w:rsidTr="00F5677D">
        <w:tc>
          <w:tcPr>
            <w:tcW w:w="4382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105" w:type="dxa"/>
            <w:hideMark/>
          </w:tcPr>
          <w:p w14:paraId="67167009" w14:textId="3E6FF8D8" w:rsidR="001134EA" w:rsidRPr="009600C2" w:rsidRDefault="00F5677D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Arte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dei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Suonatori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jest zespołem muzyki dawnej o międzynarodowej renomie, założony w 1993 roku. W repertuarze orkiestry znajduje się ponad 700 kompozycji okresu baroku, jak również klasycyzmu i wczesnego romantyzmu. Chociaż muzyka dawna jest domeną orkiestry, w jej repertuarze znajdziemy także utwory kompozytorów żyjących i tworzących w XX wieku oraz kompozycje pisane współcześnie.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Arte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dei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Suonatori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cieszy się nieustannie przychylną opinią krytyków muzycznych i publiczności, o czym świadczą liczne nagrody i wyróżnienia. Wydane przez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Arte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dei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Suonatori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uhonorowane zostały m.in.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Diapason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d’Or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Gramophone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Editor's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Choice,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Choc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du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Monde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 la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Musique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, czy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Classics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Today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. Orkiestra dokonała także wielu nagrań dla rozgłośni radiowych i stacji telewizyjnych, m.in. dla BBC, Programu 2 Polskiego Radia, SWR, czy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Mezzo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>.</w:t>
            </w:r>
            <w:r w:rsidRPr="00F5677D">
              <w:rPr>
                <w:rFonts w:ascii="Times New Roman" w:hAnsi="Times New Roman" w:cs="Times New Roman"/>
                <w:bCs/>
                <w:iCs/>
              </w:rPr>
              <w:br/>
              <w:t xml:space="preserve">W repertuarze zespołu znajdują się utwory Pawła Szymańskiego objęte niniejszym zamówieniem, które współczesny kompozytor napisał w dawnym stylu.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Arte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dei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Suonatori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jest specjalistą w wykonawstwie historycznym, co odpowiada stylizowanemu charakterowi utworów Szymańskiego.</w:t>
            </w:r>
            <w:r w:rsidRPr="00F5677D">
              <w:rPr>
                <w:rFonts w:ascii="Times New Roman" w:hAnsi="Times New Roman" w:cs="Times New Roman"/>
                <w:bCs/>
                <w:iCs/>
              </w:rPr>
              <w:br/>
              <w:t xml:space="preserve">Małgorzata Sarbak jest klawesynistką i pedagogiem. Kształciła się w Akademii Muzycznej im. F. Chopina w Warszawie, New England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lastRenderedPageBreak/>
              <w:t>Conservatory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w Bostonie,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Academie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Musicale de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Villecroze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>. Dokonała światowych prapremier utworów Pawła Szymańskiego, m.in. utworu „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Les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Poiriers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en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Pologne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ou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une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Suite de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Pieces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Sentimentales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de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Clavecin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faites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par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Mr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5677D">
              <w:rPr>
                <w:rFonts w:ascii="Times New Roman" w:hAnsi="Times New Roman" w:cs="Times New Roman"/>
                <w:bCs/>
                <w:iCs/>
              </w:rPr>
              <w:t>Szymanski</w:t>
            </w:r>
            <w:proofErr w:type="spellEnd"/>
            <w:r w:rsidRPr="00F5677D">
              <w:rPr>
                <w:rFonts w:ascii="Times New Roman" w:hAnsi="Times New Roman" w:cs="Times New Roman"/>
                <w:bCs/>
                <w:iCs/>
              </w:rPr>
              <w:t>” objętego niniejszym zamówieniem, który przez kompozytora został dedykowany artystce. Na swoim koncie ma nominowaną do nagrody Fryderyk (2016), monograficzną płytę z twórczością Pawła Szymańskiego.</w:t>
            </w:r>
          </w:p>
        </w:tc>
      </w:tr>
      <w:tr w:rsidR="001134EA" w:rsidRPr="00CE2014" w14:paraId="0715ED97" w14:textId="77777777" w:rsidTr="00F5677D">
        <w:tc>
          <w:tcPr>
            <w:tcW w:w="4382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lastRenderedPageBreak/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105" w:type="dxa"/>
            <w:hideMark/>
          </w:tcPr>
          <w:p w14:paraId="4F9E4DA7" w14:textId="35764425" w:rsidR="004333C3" w:rsidRPr="00CE2014" w:rsidRDefault="004333C3" w:rsidP="00EE4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92312000-1 Usługi artystyczne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9B46" w14:textId="77777777" w:rsidR="00774F97" w:rsidRDefault="00774F97" w:rsidP="00EE4A8F">
      <w:pPr>
        <w:spacing w:after="0" w:line="240" w:lineRule="auto"/>
      </w:pPr>
      <w:r>
        <w:separator/>
      </w:r>
    </w:p>
  </w:endnote>
  <w:endnote w:type="continuationSeparator" w:id="0">
    <w:p w14:paraId="796D07CE" w14:textId="77777777" w:rsidR="00774F97" w:rsidRDefault="00774F97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FFBA" w14:textId="77777777" w:rsidR="00774F97" w:rsidRDefault="00774F97" w:rsidP="00EE4A8F">
      <w:pPr>
        <w:spacing w:after="0" w:line="240" w:lineRule="auto"/>
      </w:pPr>
      <w:r>
        <w:separator/>
      </w:r>
    </w:p>
  </w:footnote>
  <w:footnote w:type="continuationSeparator" w:id="0">
    <w:p w14:paraId="52E370E9" w14:textId="77777777" w:rsidR="00774F97" w:rsidRDefault="00774F97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292A93DC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F5677D">
      <w:rPr>
        <w:rFonts w:ascii="Times New Roman" w:hAnsi="Times New Roman" w:cs="Times New Roman"/>
        <w:i/>
        <w:iCs/>
      </w:rPr>
      <w:t>7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441CFF">
      <w:rPr>
        <w:rFonts w:ascii="Times New Roman" w:hAnsi="Times New Roman" w:cs="Times New Roman"/>
        <w:i/>
        <w:iCs/>
      </w:rPr>
      <w:t>5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104733"/>
    <w:rsid w:val="001134EA"/>
    <w:rsid w:val="00131A72"/>
    <w:rsid w:val="00146BF4"/>
    <w:rsid w:val="001620BC"/>
    <w:rsid w:val="00182DA0"/>
    <w:rsid w:val="001B2327"/>
    <w:rsid w:val="002E1B90"/>
    <w:rsid w:val="003B1780"/>
    <w:rsid w:val="004333C3"/>
    <w:rsid w:val="004366E8"/>
    <w:rsid w:val="00441CFF"/>
    <w:rsid w:val="004D2296"/>
    <w:rsid w:val="0061714D"/>
    <w:rsid w:val="00667B61"/>
    <w:rsid w:val="00774F97"/>
    <w:rsid w:val="008321E7"/>
    <w:rsid w:val="009600C2"/>
    <w:rsid w:val="009804D2"/>
    <w:rsid w:val="00986FC0"/>
    <w:rsid w:val="009C135F"/>
    <w:rsid w:val="009D1E28"/>
    <w:rsid w:val="009F266C"/>
    <w:rsid w:val="00A501D8"/>
    <w:rsid w:val="00AA012E"/>
    <w:rsid w:val="00B2182D"/>
    <w:rsid w:val="00B460E6"/>
    <w:rsid w:val="00B63157"/>
    <w:rsid w:val="00BC0975"/>
    <w:rsid w:val="00BC49E4"/>
    <w:rsid w:val="00BD34F8"/>
    <w:rsid w:val="00C736C5"/>
    <w:rsid w:val="00C7620C"/>
    <w:rsid w:val="00C80048"/>
    <w:rsid w:val="00CE2014"/>
    <w:rsid w:val="00D32FEF"/>
    <w:rsid w:val="00D57FC0"/>
    <w:rsid w:val="00D658FB"/>
    <w:rsid w:val="00DB1027"/>
    <w:rsid w:val="00DF538F"/>
    <w:rsid w:val="00E61E79"/>
    <w:rsid w:val="00EC3E05"/>
    <w:rsid w:val="00EE4A8F"/>
    <w:rsid w:val="00F5677D"/>
    <w:rsid w:val="00FA08F8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2025-10-07T11:52:00Z</dcterms:created>
  <dcterms:modified xsi:type="dcterms:W3CDTF">2025-10-07T11:52:00Z</dcterms:modified>
</cp:coreProperties>
</file>